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D9D" w:rsidRPr="00010D9D" w:rsidRDefault="007624F1" w:rsidP="00C37496">
      <w:pPr>
        <w:spacing w:after="240"/>
        <w:jc w:val="center"/>
        <w:rPr>
          <w:rFonts w:ascii="Times New Roman" w:hAnsi="Times New Roman" w:cs="Times New Roman"/>
          <w:b/>
          <w:sz w:val="44"/>
        </w:rPr>
      </w:pPr>
      <w:r>
        <w:rPr>
          <w:rFonts w:ascii="Times New Roman" w:hAnsi="Times New Roman" w:cs="Times New Roman"/>
          <w:b/>
          <w:sz w:val="44"/>
        </w:rPr>
        <w:t xml:space="preserve">What would </w:t>
      </w:r>
      <w:r w:rsidR="006E1DD5">
        <w:rPr>
          <w:rFonts w:ascii="Times New Roman" w:hAnsi="Times New Roman" w:cs="Times New Roman"/>
          <w:b/>
          <w:sz w:val="44"/>
        </w:rPr>
        <w:t xml:space="preserve">a transfer to </w:t>
      </w:r>
      <w:r>
        <w:rPr>
          <w:rFonts w:ascii="Times New Roman" w:hAnsi="Times New Roman" w:cs="Times New Roman"/>
          <w:b/>
          <w:sz w:val="44"/>
        </w:rPr>
        <w:t>State-related mean for our CBA and working conditions</w:t>
      </w:r>
      <w:r w:rsidR="00010D9D" w:rsidRPr="00010D9D">
        <w:rPr>
          <w:rFonts w:ascii="Times New Roman" w:hAnsi="Times New Roman" w:cs="Times New Roman"/>
          <w:b/>
          <w:sz w:val="44"/>
        </w:rPr>
        <w:t>?</w:t>
      </w:r>
    </w:p>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tblPr>
      <w:tblGrid>
        <w:gridCol w:w="9576"/>
      </w:tblGrid>
      <w:tr w:rsidR="00C37496" w:rsidTr="00C37496">
        <w:tc>
          <w:tcPr>
            <w:tcW w:w="9576" w:type="dxa"/>
          </w:tcPr>
          <w:p w:rsidR="00C37496" w:rsidRPr="005743A1" w:rsidRDefault="00C37496" w:rsidP="00C37496">
            <w:pPr>
              <w:pStyle w:val="NoSpacing"/>
              <w:spacing w:after="80"/>
              <w:rPr>
                <w:rFonts w:ascii="Times New Roman" w:hAnsi="Times New Roman" w:cs="Times New Roman"/>
                <w:b/>
                <w:sz w:val="26"/>
                <w:szCs w:val="26"/>
              </w:rPr>
            </w:pPr>
            <w:r w:rsidRPr="005743A1">
              <w:rPr>
                <w:rFonts w:ascii="Times New Roman" w:hAnsi="Times New Roman" w:cs="Times New Roman"/>
                <w:b/>
                <w:sz w:val="26"/>
                <w:szCs w:val="26"/>
              </w:rPr>
              <w:t>Summary:</w:t>
            </w:r>
          </w:p>
          <w:p w:rsidR="00722D8C" w:rsidRDefault="00722D8C" w:rsidP="00C37496">
            <w:pPr>
              <w:pStyle w:val="NoSpacing"/>
              <w:numPr>
                <w:ilvl w:val="0"/>
                <w:numId w:val="1"/>
              </w:numPr>
              <w:spacing w:after="80"/>
              <w:rPr>
                <w:rFonts w:ascii="Times New Roman" w:hAnsi="Times New Roman" w:cs="Times New Roman"/>
                <w:sz w:val="26"/>
                <w:szCs w:val="26"/>
              </w:rPr>
            </w:pPr>
            <w:r>
              <w:rPr>
                <w:rFonts w:ascii="Times New Roman" w:hAnsi="Times New Roman" w:cs="Times New Roman"/>
                <w:sz w:val="26"/>
                <w:szCs w:val="26"/>
              </w:rPr>
              <w:t>WCU would first become state-related, then a faculty contract would be negotiated (pending union certification)</w:t>
            </w:r>
          </w:p>
          <w:p w:rsidR="00C37496" w:rsidRPr="005743A1" w:rsidRDefault="00722D8C" w:rsidP="00C37496">
            <w:pPr>
              <w:pStyle w:val="NoSpacing"/>
              <w:numPr>
                <w:ilvl w:val="0"/>
                <w:numId w:val="1"/>
              </w:numPr>
              <w:spacing w:after="80"/>
              <w:rPr>
                <w:rFonts w:ascii="Times New Roman" w:hAnsi="Times New Roman" w:cs="Times New Roman"/>
                <w:sz w:val="26"/>
                <w:szCs w:val="26"/>
              </w:rPr>
            </w:pPr>
            <w:r>
              <w:rPr>
                <w:rFonts w:ascii="Times New Roman" w:hAnsi="Times New Roman" w:cs="Times New Roman"/>
                <w:sz w:val="26"/>
                <w:szCs w:val="26"/>
              </w:rPr>
              <w:t>The provisions of our CBA are protected until June 30, 2015</w:t>
            </w:r>
          </w:p>
          <w:p w:rsidR="00C37496" w:rsidRPr="005743A1" w:rsidRDefault="00722D8C" w:rsidP="00C37496">
            <w:pPr>
              <w:pStyle w:val="NoSpacing"/>
              <w:numPr>
                <w:ilvl w:val="0"/>
                <w:numId w:val="1"/>
              </w:numPr>
              <w:spacing w:after="80"/>
              <w:rPr>
                <w:rFonts w:ascii="Times New Roman" w:hAnsi="Times New Roman" w:cs="Times New Roman"/>
                <w:sz w:val="26"/>
                <w:szCs w:val="26"/>
              </w:rPr>
            </w:pPr>
            <w:r>
              <w:rPr>
                <w:rFonts w:ascii="Times New Roman" w:hAnsi="Times New Roman" w:cs="Times New Roman"/>
                <w:sz w:val="26"/>
                <w:szCs w:val="26"/>
              </w:rPr>
              <w:t xml:space="preserve">The ability of WCU-APSCUF to play a role on campus is uncertain as soon as we become state-related </w:t>
            </w:r>
          </w:p>
          <w:p w:rsidR="00C37496" w:rsidRPr="005743A1" w:rsidRDefault="00722D8C" w:rsidP="00C37496">
            <w:pPr>
              <w:pStyle w:val="NoSpacing"/>
              <w:numPr>
                <w:ilvl w:val="0"/>
                <w:numId w:val="1"/>
              </w:numPr>
              <w:spacing w:after="80"/>
              <w:rPr>
                <w:sz w:val="26"/>
                <w:szCs w:val="26"/>
              </w:rPr>
            </w:pPr>
            <w:r>
              <w:rPr>
                <w:rFonts w:ascii="Times New Roman" w:hAnsi="Times New Roman" w:cs="Times New Roman"/>
                <w:sz w:val="26"/>
                <w:szCs w:val="26"/>
              </w:rPr>
              <w:t>Anything in our CBA could be changed after that, faculty would be in a concessionary position</w:t>
            </w:r>
          </w:p>
        </w:tc>
      </w:tr>
    </w:tbl>
    <w:p w:rsidR="00C37496" w:rsidRDefault="00C37496" w:rsidP="00010D9D">
      <w:pPr>
        <w:pStyle w:val="NoSpacing"/>
      </w:pPr>
    </w:p>
    <w:p w:rsidR="00C37496" w:rsidRDefault="007624F1" w:rsidP="00010D9D">
      <w:pPr>
        <w:pStyle w:val="NoSpacing"/>
      </w:pPr>
      <w:r>
        <w:t>Article 38 of our 2011-2015 Collective Bargaining Agreement (p. 107) reads:</w:t>
      </w:r>
    </w:p>
    <w:p w:rsidR="007624F1" w:rsidRPr="006E1DD5" w:rsidRDefault="007624F1" w:rsidP="007624F1">
      <w:pPr>
        <w:pStyle w:val="NoSpacing"/>
        <w:ind w:left="720"/>
        <w:rPr>
          <w:rFonts w:cs="Times New Roman"/>
          <w:b/>
        </w:rPr>
      </w:pPr>
      <w:r w:rsidRPr="006E1DD5">
        <w:rPr>
          <w:rFonts w:cs="Times New Roman"/>
          <w:b/>
        </w:rPr>
        <w:t>“This Agreement shall be binding upon the parties hereto, and their heirs, executors, administrators, successors and assigns of each, in accordance with applicable labor law. The STATE SYSTEM shall notify APSCUF in writing at least thirty (30) days in advance of any sale, lease, transfer or assignment of any of the UNIVERSITIES to political subdivisions or bodies, corporations or persons.”</w:t>
      </w:r>
    </w:p>
    <w:p w:rsidR="007624F1" w:rsidRDefault="007624F1" w:rsidP="007624F1">
      <w:pPr>
        <w:pStyle w:val="NoSpacing"/>
        <w:rPr>
          <w:rFonts w:cs="Times New Roman"/>
        </w:rPr>
      </w:pPr>
    </w:p>
    <w:p w:rsidR="007624F1" w:rsidRDefault="007624F1" w:rsidP="007624F1">
      <w:pPr>
        <w:pStyle w:val="NoSpacing"/>
        <w:rPr>
          <w:rFonts w:cs="Times New Roman"/>
        </w:rPr>
      </w:pPr>
      <w:r>
        <w:rPr>
          <w:rFonts w:cs="Times New Roman"/>
        </w:rPr>
        <w:t xml:space="preserve">This means the successor institution of WCUPA is obligated to honor the terms of our CBA until June 30, 2015.  It does not </w:t>
      </w:r>
      <w:r w:rsidR="00A8444F">
        <w:rPr>
          <w:rFonts w:cs="Times New Roman"/>
        </w:rPr>
        <w:t>obligate</w:t>
      </w:r>
      <w:r>
        <w:rPr>
          <w:rFonts w:cs="Times New Roman"/>
        </w:rPr>
        <w:t xml:space="preserve"> that the successor institution recognize the local remnants of the predecessor union</w:t>
      </w:r>
      <w:r w:rsidR="00A8444F">
        <w:rPr>
          <w:rFonts w:cs="Times New Roman"/>
        </w:rPr>
        <w:t xml:space="preserve"> as representing the faculty</w:t>
      </w:r>
      <w:r>
        <w:rPr>
          <w:rFonts w:cs="Times New Roman"/>
        </w:rPr>
        <w:t>.</w:t>
      </w:r>
      <w:r w:rsidR="00A8444F">
        <w:rPr>
          <w:rFonts w:cs="Times New Roman"/>
        </w:rPr>
        <w:t xml:space="preserve">  </w:t>
      </w:r>
    </w:p>
    <w:p w:rsidR="00A8444F" w:rsidRDefault="00A8444F" w:rsidP="007624F1">
      <w:pPr>
        <w:pStyle w:val="NoSpacing"/>
        <w:rPr>
          <w:rFonts w:cs="Times New Roman"/>
        </w:rPr>
      </w:pPr>
    </w:p>
    <w:p w:rsidR="00A8444F" w:rsidRDefault="00A8444F" w:rsidP="007624F1">
      <w:pPr>
        <w:pStyle w:val="NoSpacing"/>
        <w:rPr>
          <w:rFonts w:cs="Times New Roman"/>
        </w:rPr>
      </w:pPr>
      <w:r>
        <w:rPr>
          <w:rFonts w:cs="Times New Roman"/>
        </w:rPr>
        <w:t xml:space="preserve">Although the language in the current CBA would be available for use in any collective bargaining agreement that might be negotiated, </w:t>
      </w:r>
      <w:r w:rsidR="005B588A">
        <w:rPr>
          <w:rFonts w:cs="Times New Roman"/>
        </w:rPr>
        <w:t>both sides would bring their wish list to the table and there would be give and take.  It is possible that each advantage for the faculty would need to be balanced with an advantage for the administration.  Or either side could hold the line and say there are non-</w:t>
      </w:r>
      <w:proofErr w:type="spellStart"/>
      <w:r w:rsidR="005B588A">
        <w:rPr>
          <w:rFonts w:cs="Times New Roman"/>
        </w:rPr>
        <w:t>negotiables</w:t>
      </w:r>
      <w:proofErr w:type="spellEnd"/>
      <w:r w:rsidR="005B588A">
        <w:rPr>
          <w:rFonts w:cs="Times New Roman"/>
        </w:rPr>
        <w:t xml:space="preserve"> making the negotiation protracted and volatile.</w:t>
      </w:r>
    </w:p>
    <w:p w:rsidR="005B588A" w:rsidRDefault="005B588A" w:rsidP="007624F1">
      <w:pPr>
        <w:pStyle w:val="NoSpacing"/>
        <w:rPr>
          <w:rFonts w:cs="Times New Roman"/>
        </w:rPr>
      </w:pPr>
    </w:p>
    <w:p w:rsidR="005B588A" w:rsidRDefault="005B588A" w:rsidP="007624F1">
      <w:pPr>
        <w:pStyle w:val="NoSpacing"/>
        <w:rPr>
          <w:rFonts w:cs="Times New Roman"/>
        </w:rPr>
      </w:pPr>
      <w:r>
        <w:rPr>
          <w:rFonts w:cs="Times New Roman"/>
        </w:rPr>
        <w:t xml:space="preserve">The reverse side indicates some of the CBA language that </w:t>
      </w:r>
      <w:proofErr w:type="gramStart"/>
      <w:r>
        <w:rPr>
          <w:rFonts w:cs="Times New Roman"/>
        </w:rPr>
        <w:t>would</w:t>
      </w:r>
      <w:r w:rsidR="006E1DD5">
        <w:rPr>
          <w:rFonts w:cs="Times New Roman"/>
        </w:rPr>
        <w:t xml:space="preserve"> need</w:t>
      </w:r>
      <w:proofErr w:type="gramEnd"/>
      <w:r>
        <w:rPr>
          <w:rFonts w:cs="Times New Roman"/>
        </w:rPr>
        <w:t xml:space="preserve"> be put on the table in a future negotiation</w:t>
      </w:r>
      <w:r w:rsidR="006E1DD5">
        <w:rPr>
          <w:rFonts w:cs="Times New Roman"/>
        </w:rPr>
        <w:t xml:space="preserve"> to retain the working conditions that we currently enjoy</w:t>
      </w:r>
      <w:r>
        <w:rPr>
          <w:rFonts w:cs="Times New Roman"/>
        </w:rPr>
        <w:t>.</w:t>
      </w:r>
    </w:p>
    <w:p w:rsidR="005B588A" w:rsidRDefault="005B588A" w:rsidP="007624F1">
      <w:pPr>
        <w:pStyle w:val="NoSpacing"/>
        <w:rPr>
          <w:rFonts w:cs="Times New Roman"/>
        </w:rPr>
      </w:pPr>
    </w:p>
    <w:p w:rsidR="006E1DD5" w:rsidRDefault="006E1DD5" w:rsidP="007624F1">
      <w:pPr>
        <w:pStyle w:val="NoSpacing"/>
        <w:rPr>
          <w:rFonts w:cs="Times New Roman"/>
        </w:rPr>
      </w:pPr>
      <w:r>
        <w:rPr>
          <w:rFonts w:cs="Times New Roman"/>
        </w:rPr>
        <w:t>Recognize that the President has indicated the institution already is headed into the red financially.  We will be incurring a 30-year debt for our buildings and property.  We are likely to want to build new buildings for which we will be paying debt-service.  As long as we continue to take State money, we have some obligation to control tuition and fees.  The institution is going to be looking for ways to balance the budget for the next 30 years, so negotiations are likely to be concessionary on the part of the employees.</w:t>
      </w:r>
    </w:p>
    <w:p w:rsidR="006E1DD5" w:rsidRPr="00B262FB" w:rsidRDefault="006E1DD5" w:rsidP="00B262FB">
      <w:pPr>
        <w:pStyle w:val="NoSpacing"/>
        <w:jc w:val="center"/>
        <w:rPr>
          <w:rFonts w:ascii="Times New Roman" w:hAnsi="Times New Roman" w:cs="Times New Roman"/>
          <w:b/>
          <w:sz w:val="28"/>
          <w:u w:val="single"/>
        </w:rPr>
      </w:pPr>
      <w:r>
        <w:br w:type="page"/>
      </w:r>
      <w:r w:rsidRPr="00B262FB">
        <w:rPr>
          <w:rFonts w:ascii="Times New Roman" w:hAnsi="Times New Roman" w:cs="Times New Roman"/>
          <w:b/>
          <w:sz w:val="28"/>
          <w:u w:val="single"/>
        </w:rPr>
        <w:lastRenderedPageBreak/>
        <w:t>CBA Provisions Advantageous to the Faculty</w:t>
      </w:r>
    </w:p>
    <w:p w:rsidR="00B262FB" w:rsidRPr="00B262FB" w:rsidRDefault="00B262FB" w:rsidP="006E1DD5">
      <w:pPr>
        <w:pStyle w:val="NoSpacing"/>
      </w:pPr>
    </w:p>
    <w:p w:rsidR="006E1DD5" w:rsidRDefault="00B262FB" w:rsidP="00847D4E">
      <w:pPr>
        <w:pStyle w:val="NoSpacing"/>
        <w:numPr>
          <w:ilvl w:val="0"/>
          <w:numId w:val="2"/>
        </w:numPr>
      </w:pPr>
      <w:r>
        <w:t>Regular step increments in the salary scale</w:t>
      </w:r>
    </w:p>
    <w:p w:rsidR="00BE3A3F" w:rsidRDefault="00BE3A3F" w:rsidP="00847D4E">
      <w:pPr>
        <w:pStyle w:val="NoSpacing"/>
        <w:numPr>
          <w:ilvl w:val="0"/>
          <w:numId w:val="2"/>
        </w:numPr>
      </w:pPr>
      <w:r>
        <w:t xml:space="preserve">Healthcare coverage </w:t>
      </w:r>
      <w:r w:rsidR="00C036BB">
        <w:t>and participation options</w:t>
      </w:r>
      <w:r>
        <w:t xml:space="preserve"> commensurate with our current coverage</w:t>
      </w:r>
    </w:p>
    <w:p w:rsidR="00D33414" w:rsidRDefault="00D33414" w:rsidP="00847D4E">
      <w:pPr>
        <w:pStyle w:val="NoSpacing"/>
        <w:numPr>
          <w:ilvl w:val="0"/>
          <w:numId w:val="2"/>
        </w:numPr>
      </w:pPr>
      <w:r>
        <w:t>Vision, hearing, and dental coverage</w:t>
      </w:r>
    </w:p>
    <w:p w:rsidR="00BE3A3F" w:rsidRDefault="00BE3A3F" w:rsidP="00847D4E">
      <w:pPr>
        <w:pStyle w:val="NoSpacing"/>
        <w:numPr>
          <w:ilvl w:val="0"/>
          <w:numId w:val="2"/>
        </w:numPr>
      </w:pPr>
      <w:r>
        <w:t>Guaranteed healthcare for spouses and domestic partners</w:t>
      </w:r>
    </w:p>
    <w:p w:rsidR="00BE3A3F" w:rsidRDefault="00BE3A3F" w:rsidP="00847D4E">
      <w:pPr>
        <w:pStyle w:val="NoSpacing"/>
        <w:numPr>
          <w:ilvl w:val="0"/>
          <w:numId w:val="2"/>
        </w:numPr>
      </w:pPr>
      <w:r>
        <w:t>Some control over how quickly employee costs for healthcare rise</w:t>
      </w:r>
    </w:p>
    <w:p w:rsidR="00847D4E" w:rsidRDefault="00847D4E" w:rsidP="00847D4E">
      <w:pPr>
        <w:pStyle w:val="NoSpacing"/>
        <w:numPr>
          <w:ilvl w:val="0"/>
          <w:numId w:val="2"/>
        </w:numPr>
      </w:pPr>
      <w:r>
        <w:t>Sick leave for all faculty, rolled over each year, with a sick-leave bank available if a faculty member exceeds their personal sick leave</w:t>
      </w:r>
    </w:p>
    <w:p w:rsidR="00BE3A3F" w:rsidRDefault="00BE3A3F" w:rsidP="00847D4E">
      <w:pPr>
        <w:pStyle w:val="NoSpacing"/>
        <w:numPr>
          <w:ilvl w:val="0"/>
          <w:numId w:val="2"/>
        </w:numPr>
      </w:pPr>
      <w:r>
        <w:t>The opportunity to participate in PSERS, SERS, and ARM (e.g. TIAA-CREF) for retirement savings</w:t>
      </w:r>
    </w:p>
    <w:p w:rsidR="00BE3A3F" w:rsidRDefault="00BE3A3F" w:rsidP="00847D4E">
      <w:pPr>
        <w:pStyle w:val="NoSpacing"/>
        <w:numPr>
          <w:ilvl w:val="0"/>
          <w:numId w:val="2"/>
        </w:numPr>
      </w:pPr>
      <w:r>
        <w:t>Employer contributions to retirement funds</w:t>
      </w:r>
    </w:p>
    <w:p w:rsidR="00BE3A3F" w:rsidRDefault="00BE3A3F" w:rsidP="00847D4E">
      <w:pPr>
        <w:pStyle w:val="NoSpacing"/>
        <w:numPr>
          <w:ilvl w:val="0"/>
          <w:numId w:val="2"/>
        </w:numPr>
      </w:pPr>
      <w:r>
        <w:t>Healthcare coverage in retirement</w:t>
      </w:r>
    </w:p>
    <w:p w:rsidR="00BE3A3F" w:rsidRDefault="00BE3A3F" w:rsidP="00847D4E">
      <w:pPr>
        <w:pStyle w:val="NoSpacing"/>
        <w:numPr>
          <w:ilvl w:val="0"/>
          <w:numId w:val="2"/>
        </w:numPr>
      </w:pPr>
      <w:r>
        <w:t>Tuition waivers</w:t>
      </w:r>
    </w:p>
    <w:p w:rsidR="00BE3A3F" w:rsidRDefault="00BE3A3F" w:rsidP="00847D4E">
      <w:pPr>
        <w:pStyle w:val="NoSpacing"/>
        <w:numPr>
          <w:ilvl w:val="0"/>
          <w:numId w:val="2"/>
        </w:numPr>
      </w:pPr>
      <w:r>
        <w:t>Sabbaticals</w:t>
      </w:r>
    </w:p>
    <w:p w:rsidR="00BE3A3F" w:rsidRDefault="00BE3A3F" w:rsidP="00847D4E">
      <w:pPr>
        <w:pStyle w:val="NoSpacing"/>
        <w:numPr>
          <w:ilvl w:val="0"/>
          <w:numId w:val="2"/>
        </w:numPr>
      </w:pPr>
      <w:r>
        <w:t>Protections for academic freedom in the classroom</w:t>
      </w:r>
    </w:p>
    <w:p w:rsidR="00BE3A3F" w:rsidRDefault="00BE3A3F" w:rsidP="00847D4E">
      <w:pPr>
        <w:pStyle w:val="NoSpacing"/>
        <w:numPr>
          <w:ilvl w:val="0"/>
          <w:numId w:val="2"/>
        </w:numPr>
      </w:pPr>
      <w:r>
        <w:t xml:space="preserve">Substantial </w:t>
      </w:r>
      <w:r w:rsidR="00847D4E">
        <w:t xml:space="preserve">faculty </w:t>
      </w:r>
      <w:r>
        <w:t>control over the curriculum</w:t>
      </w:r>
    </w:p>
    <w:p w:rsidR="00847D4E" w:rsidRDefault="00847D4E" w:rsidP="00847D4E">
      <w:pPr>
        <w:pStyle w:val="NoSpacing"/>
        <w:numPr>
          <w:ilvl w:val="0"/>
          <w:numId w:val="2"/>
        </w:numPr>
      </w:pPr>
      <w:r>
        <w:t>Evaluation of faculty work is based on multiple data points and recognition that disciplinary peers have unique insight into what “good teaching, research, and service” entails</w:t>
      </w:r>
    </w:p>
    <w:p w:rsidR="00847D4E" w:rsidRDefault="00847D4E" w:rsidP="00847D4E">
      <w:pPr>
        <w:pStyle w:val="NoSpacing"/>
        <w:numPr>
          <w:ilvl w:val="0"/>
          <w:numId w:val="2"/>
        </w:numPr>
      </w:pPr>
      <w:r>
        <w:t>The</w:t>
      </w:r>
      <w:r w:rsidR="00C036BB">
        <w:t xml:space="preserve"> provision of</w:t>
      </w:r>
      <w:r>
        <w:t xml:space="preserve"> tenure </w:t>
      </w:r>
      <w:r w:rsidR="00C036BB">
        <w:t>for</w:t>
      </w:r>
      <w:r>
        <w:t xml:space="preserve"> faculty.  The probationary time to tenure should </w:t>
      </w:r>
      <w:r w:rsidRPr="00847D4E">
        <w:t>not be excessive</w:t>
      </w:r>
      <w:r>
        <w:t>.</w:t>
      </w:r>
    </w:p>
    <w:p w:rsidR="00BE3A3F" w:rsidRDefault="00BE3A3F" w:rsidP="00847D4E">
      <w:pPr>
        <w:pStyle w:val="NoSpacing"/>
        <w:numPr>
          <w:ilvl w:val="0"/>
          <w:numId w:val="2"/>
        </w:numPr>
      </w:pPr>
      <w:r>
        <w:t>The ability to vet and recommend new faculty hires</w:t>
      </w:r>
    </w:p>
    <w:p w:rsidR="00BE3A3F" w:rsidRDefault="00BE3A3F" w:rsidP="00847D4E">
      <w:pPr>
        <w:pStyle w:val="NoSpacing"/>
        <w:numPr>
          <w:ilvl w:val="0"/>
          <w:numId w:val="2"/>
        </w:numPr>
      </w:pPr>
      <w:r>
        <w:t>The ability to elect their own department chair</w:t>
      </w:r>
      <w:r w:rsidR="00D33414">
        <w:t>, release time and compensation for the chair’s work</w:t>
      </w:r>
    </w:p>
    <w:p w:rsidR="00B262FB" w:rsidRDefault="00B262FB" w:rsidP="00847D4E">
      <w:pPr>
        <w:pStyle w:val="NoSpacing"/>
        <w:numPr>
          <w:ilvl w:val="0"/>
          <w:numId w:val="2"/>
        </w:numPr>
      </w:pPr>
      <w:r>
        <w:t>Adjunct faculty on the same salary scale as tenure/track faculty</w:t>
      </w:r>
    </w:p>
    <w:p w:rsidR="00D33414" w:rsidRDefault="00D33414" w:rsidP="00847D4E">
      <w:pPr>
        <w:pStyle w:val="NoSpacing"/>
        <w:numPr>
          <w:ilvl w:val="0"/>
          <w:numId w:val="2"/>
        </w:numPr>
      </w:pPr>
      <w:r>
        <w:t>Adjunct faculty have opportunity for tenure-track position if their work stops being “temporary”</w:t>
      </w:r>
    </w:p>
    <w:p w:rsidR="00B262FB" w:rsidRDefault="00B262FB" w:rsidP="00847D4E">
      <w:pPr>
        <w:pStyle w:val="NoSpacing"/>
        <w:numPr>
          <w:ilvl w:val="0"/>
          <w:numId w:val="2"/>
        </w:numPr>
      </w:pPr>
      <w:r>
        <w:t>If administration refuses to replace retirements with tenure-track faculty, faculty have some rights to demand tenure-track hires</w:t>
      </w:r>
    </w:p>
    <w:p w:rsidR="00BE3A3F" w:rsidRDefault="00BE3A3F" w:rsidP="00847D4E">
      <w:pPr>
        <w:pStyle w:val="NoSpacing"/>
        <w:numPr>
          <w:ilvl w:val="0"/>
          <w:numId w:val="2"/>
        </w:numPr>
      </w:pPr>
      <w:r>
        <w:t>If faculty are assigned extra duties by management they need to be compensated for that work</w:t>
      </w:r>
    </w:p>
    <w:p w:rsidR="00BE3A3F" w:rsidRDefault="00BE3A3F" w:rsidP="00847D4E">
      <w:pPr>
        <w:pStyle w:val="NoSpacing"/>
        <w:numPr>
          <w:ilvl w:val="0"/>
          <w:numId w:val="2"/>
        </w:numPr>
      </w:pPr>
      <w:r>
        <w:t xml:space="preserve">If a tenured faculty member is to be retrenched, they have the right to be notified in advance and to be represented in a protracted effort to save their job before final dismissal.  </w:t>
      </w:r>
    </w:p>
    <w:p w:rsidR="00B262FB" w:rsidRDefault="00B262FB" w:rsidP="00847D4E">
      <w:pPr>
        <w:pStyle w:val="NoSpacing"/>
        <w:numPr>
          <w:ilvl w:val="0"/>
          <w:numId w:val="2"/>
        </w:numPr>
      </w:pPr>
      <w:r>
        <w:t>Work at branch campus locations is voluntary and provision is made for travel costs</w:t>
      </w:r>
    </w:p>
    <w:p w:rsidR="00B262FB" w:rsidRDefault="00B262FB" w:rsidP="00847D4E">
      <w:pPr>
        <w:pStyle w:val="NoSpacing"/>
        <w:numPr>
          <w:ilvl w:val="0"/>
          <w:numId w:val="2"/>
        </w:numPr>
      </w:pPr>
      <w:r>
        <w:t>Distance education teaching is voluntary with class size constrained by a per head cost, and additional compensation for the 24/7 on-call nature of most DE work</w:t>
      </w:r>
    </w:p>
    <w:p w:rsidR="00B262FB" w:rsidRDefault="00B262FB" w:rsidP="00847D4E">
      <w:pPr>
        <w:pStyle w:val="NoSpacing"/>
        <w:numPr>
          <w:ilvl w:val="0"/>
          <w:numId w:val="2"/>
        </w:numPr>
      </w:pPr>
      <w:r>
        <w:t xml:space="preserve">Full time teaching is a 4-4 </w:t>
      </w:r>
      <w:proofErr w:type="spellStart"/>
      <w:r>
        <w:t>load</w:t>
      </w:r>
      <w:proofErr w:type="spellEnd"/>
      <w:r>
        <w:t xml:space="preserve"> with recognition that teaching graduate students incurs time outside the classroom</w:t>
      </w:r>
    </w:p>
    <w:p w:rsidR="00847D4E" w:rsidRDefault="00847D4E" w:rsidP="00847D4E">
      <w:pPr>
        <w:pStyle w:val="NoSpacing"/>
        <w:numPr>
          <w:ilvl w:val="0"/>
          <w:numId w:val="2"/>
        </w:numPr>
      </w:pPr>
      <w:r>
        <w:t>The number of course preps that can be expected of a faculty member must be limited, or additional compensation provided</w:t>
      </w:r>
    </w:p>
    <w:p w:rsidR="00B262FB" w:rsidRDefault="00B262FB" w:rsidP="00847D4E">
      <w:pPr>
        <w:pStyle w:val="NoSpacing"/>
        <w:numPr>
          <w:ilvl w:val="0"/>
          <w:numId w:val="2"/>
        </w:numPr>
      </w:pPr>
      <w:r>
        <w:t xml:space="preserve">Protections for </w:t>
      </w:r>
      <w:r w:rsidR="00847D4E">
        <w:t>work</w:t>
      </w:r>
      <w:r>
        <w:t xml:space="preserve">load in </w:t>
      </w:r>
      <w:r w:rsidR="00847D4E">
        <w:t xml:space="preserve">unique situations such as </w:t>
      </w:r>
      <w:r>
        <w:t xml:space="preserve">student teaching, internships, theatre and music directing, </w:t>
      </w:r>
      <w:r w:rsidR="00847D4E">
        <w:t>library</w:t>
      </w:r>
      <w:r>
        <w:t>, etc.</w:t>
      </w:r>
    </w:p>
    <w:p w:rsidR="00BE3A3F" w:rsidRDefault="00BE3A3F" w:rsidP="00847D4E">
      <w:pPr>
        <w:pStyle w:val="NoSpacing"/>
        <w:numPr>
          <w:ilvl w:val="0"/>
          <w:numId w:val="2"/>
        </w:numPr>
      </w:pPr>
      <w:r>
        <w:t>Summer and winter teaching are voluntary and receive supplemental pay</w:t>
      </w:r>
    </w:p>
    <w:p w:rsidR="00B262FB" w:rsidRDefault="00B262FB" w:rsidP="00847D4E">
      <w:pPr>
        <w:pStyle w:val="NoSpacing"/>
        <w:numPr>
          <w:ilvl w:val="0"/>
          <w:numId w:val="2"/>
        </w:numPr>
      </w:pPr>
      <w:r>
        <w:t>If a faculty member is accused of wrong-doing they are entitled to representation and due-process</w:t>
      </w:r>
    </w:p>
    <w:p w:rsidR="00B262FB" w:rsidRDefault="00B262FB" w:rsidP="00847D4E">
      <w:pPr>
        <w:pStyle w:val="NoSpacing"/>
        <w:numPr>
          <w:ilvl w:val="0"/>
          <w:numId w:val="2"/>
        </w:numPr>
      </w:pPr>
      <w:r>
        <w:t>If a faculty member is mistreated by the employer they are able to grieve and challenge the treatment</w:t>
      </w:r>
    </w:p>
    <w:p w:rsidR="00BE3A3F" w:rsidRDefault="00B262FB" w:rsidP="00847D4E">
      <w:pPr>
        <w:pStyle w:val="NoSpacing"/>
        <w:numPr>
          <w:ilvl w:val="0"/>
          <w:numId w:val="2"/>
        </w:numPr>
      </w:pPr>
      <w:r>
        <w:t>What counts as “creative and scholarly growth” is broad</w:t>
      </w:r>
      <w:r w:rsidR="00BE3A3F">
        <w:t xml:space="preserve">ly defined </w:t>
      </w:r>
    </w:p>
    <w:p w:rsidR="00D33414" w:rsidRDefault="00D33414" w:rsidP="00D33414">
      <w:pPr>
        <w:pStyle w:val="NoSpacing"/>
        <w:numPr>
          <w:ilvl w:val="0"/>
          <w:numId w:val="2"/>
        </w:numPr>
      </w:pPr>
      <w:r>
        <w:t>Faculty retain ownership of their intellectual property and it cannot be appropriated by the institution</w:t>
      </w:r>
    </w:p>
    <w:p w:rsidR="00B262FB" w:rsidRDefault="00BE3A3F" w:rsidP="00847D4E">
      <w:pPr>
        <w:pStyle w:val="NoSpacing"/>
        <w:numPr>
          <w:ilvl w:val="0"/>
          <w:numId w:val="2"/>
        </w:numPr>
      </w:pPr>
      <w:r>
        <w:t>The pathway to promotion and tenure is more clearly defined and explained</w:t>
      </w:r>
      <w:r w:rsidR="00D33414">
        <w:t>, with some recourse when the process is violated</w:t>
      </w:r>
    </w:p>
    <w:p w:rsidR="005B588A" w:rsidRPr="007624F1" w:rsidRDefault="005B588A" w:rsidP="006E1DD5">
      <w:pPr>
        <w:pStyle w:val="NoSpacing"/>
      </w:pPr>
    </w:p>
    <w:sectPr w:rsidR="005B588A" w:rsidRPr="007624F1" w:rsidSect="00D33414">
      <w:headerReference w:type="default" r:id="rId8"/>
      <w:pgSz w:w="12240" w:h="15840"/>
      <w:pgMar w:top="1440" w:right="72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2300" w:rsidRDefault="00272300" w:rsidP="000116D2">
      <w:pPr>
        <w:spacing w:after="0" w:line="240" w:lineRule="auto"/>
      </w:pPr>
      <w:r>
        <w:separator/>
      </w:r>
    </w:p>
  </w:endnote>
  <w:endnote w:type="continuationSeparator" w:id="0">
    <w:p w:rsidR="00272300" w:rsidRDefault="00272300" w:rsidP="000116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2300" w:rsidRDefault="00272300" w:rsidP="000116D2">
      <w:pPr>
        <w:spacing w:after="0" w:line="240" w:lineRule="auto"/>
      </w:pPr>
      <w:r>
        <w:separator/>
      </w:r>
    </w:p>
  </w:footnote>
  <w:footnote w:type="continuationSeparator" w:id="0">
    <w:p w:rsidR="00272300" w:rsidRDefault="00272300" w:rsidP="000116D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496" w:rsidRPr="00C37496" w:rsidRDefault="005B588A" w:rsidP="00C37496">
    <w:pPr>
      <w:pStyle w:val="Header"/>
      <w:jc w:val="right"/>
      <w:rPr>
        <w:rFonts w:ascii="Times New Roman" w:hAnsi="Times New Roman" w:cs="Times New Roman"/>
        <w:sz w:val="24"/>
      </w:rPr>
    </w:pPr>
    <w:r>
      <w:rPr>
        <w:rFonts w:ascii="Times New Roman" w:hAnsi="Times New Roman" w:cs="Times New Roman"/>
        <w:b/>
        <w:sz w:val="24"/>
      </w:rPr>
      <w:t>How Does This Affect our CBA</w:t>
    </w:r>
    <w:r w:rsidR="00C37496" w:rsidRPr="00C37496">
      <w:rPr>
        <w:rFonts w:ascii="Times New Roman" w:hAnsi="Times New Roman" w:cs="Times New Roman"/>
        <w:b/>
        <w:sz w:val="24"/>
      </w:rPr>
      <w:t>?</w:t>
    </w:r>
    <w:r w:rsidR="00C37496">
      <w:rPr>
        <w:rFonts w:ascii="Times New Roman" w:hAnsi="Times New Roman" w:cs="Times New Roman"/>
        <w:sz w:val="24"/>
      </w:rPr>
      <w:t xml:space="preserve">   Page 2</w:t>
    </w:r>
  </w:p>
  <w:p w:rsidR="00C37496" w:rsidRDefault="00C3749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093A3E"/>
    <w:multiLevelType w:val="hybridMultilevel"/>
    <w:tmpl w:val="4E161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35C71F4"/>
    <w:multiLevelType w:val="hybridMultilevel"/>
    <w:tmpl w:val="CB201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rsids>
    <w:rsidRoot w:val="00492F8C"/>
    <w:rsid w:val="00010D9D"/>
    <w:rsid w:val="000116D2"/>
    <w:rsid w:val="00014539"/>
    <w:rsid w:val="00066B72"/>
    <w:rsid w:val="000E01EE"/>
    <w:rsid w:val="00217FF8"/>
    <w:rsid w:val="00252F35"/>
    <w:rsid w:val="002533D9"/>
    <w:rsid w:val="00272300"/>
    <w:rsid w:val="00277FA7"/>
    <w:rsid w:val="002B541A"/>
    <w:rsid w:val="00305993"/>
    <w:rsid w:val="00316BD7"/>
    <w:rsid w:val="003E31A9"/>
    <w:rsid w:val="003E7E0B"/>
    <w:rsid w:val="003F0D12"/>
    <w:rsid w:val="00462E5D"/>
    <w:rsid w:val="00492F8C"/>
    <w:rsid w:val="004C1B0C"/>
    <w:rsid w:val="0054559F"/>
    <w:rsid w:val="005743A1"/>
    <w:rsid w:val="0058667A"/>
    <w:rsid w:val="005B588A"/>
    <w:rsid w:val="005B6090"/>
    <w:rsid w:val="00600B92"/>
    <w:rsid w:val="006454EC"/>
    <w:rsid w:val="006709A9"/>
    <w:rsid w:val="006C7C6E"/>
    <w:rsid w:val="006E1DD5"/>
    <w:rsid w:val="00722D8C"/>
    <w:rsid w:val="00726E1C"/>
    <w:rsid w:val="007624F1"/>
    <w:rsid w:val="007C58E6"/>
    <w:rsid w:val="007E15E9"/>
    <w:rsid w:val="00830A57"/>
    <w:rsid w:val="00847D4E"/>
    <w:rsid w:val="008B3BDB"/>
    <w:rsid w:val="009B3272"/>
    <w:rsid w:val="009B7CDC"/>
    <w:rsid w:val="009C2B08"/>
    <w:rsid w:val="00A40D6B"/>
    <w:rsid w:val="00A8444F"/>
    <w:rsid w:val="00AC7403"/>
    <w:rsid w:val="00B163A4"/>
    <w:rsid w:val="00B262FB"/>
    <w:rsid w:val="00B574D9"/>
    <w:rsid w:val="00BE3A3F"/>
    <w:rsid w:val="00C036BB"/>
    <w:rsid w:val="00C25681"/>
    <w:rsid w:val="00C37496"/>
    <w:rsid w:val="00C435F5"/>
    <w:rsid w:val="00C57568"/>
    <w:rsid w:val="00CB35E8"/>
    <w:rsid w:val="00D33414"/>
    <w:rsid w:val="00D47D5C"/>
    <w:rsid w:val="00E62B7A"/>
    <w:rsid w:val="00F32742"/>
    <w:rsid w:val="00FC18F8"/>
    <w:rsid w:val="00FD2D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2D1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116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116D2"/>
    <w:rPr>
      <w:sz w:val="20"/>
      <w:szCs w:val="20"/>
    </w:rPr>
  </w:style>
  <w:style w:type="character" w:styleId="FootnoteReference">
    <w:name w:val="footnote reference"/>
    <w:basedOn w:val="DefaultParagraphFont"/>
    <w:uiPriority w:val="99"/>
    <w:semiHidden/>
    <w:unhideWhenUsed/>
    <w:rsid w:val="000116D2"/>
    <w:rPr>
      <w:vertAlign w:val="superscript"/>
    </w:rPr>
  </w:style>
  <w:style w:type="paragraph" w:styleId="NoSpacing">
    <w:name w:val="No Spacing"/>
    <w:uiPriority w:val="1"/>
    <w:qFormat/>
    <w:rsid w:val="00010D9D"/>
    <w:pPr>
      <w:spacing w:after="0" w:line="240" w:lineRule="auto"/>
    </w:pPr>
  </w:style>
  <w:style w:type="table" w:styleId="TableGrid">
    <w:name w:val="Table Grid"/>
    <w:basedOn w:val="TableNormal"/>
    <w:uiPriority w:val="59"/>
    <w:rsid w:val="00C3749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374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7496"/>
  </w:style>
  <w:style w:type="paragraph" w:styleId="Footer">
    <w:name w:val="footer"/>
    <w:basedOn w:val="Normal"/>
    <w:link w:val="FooterChar"/>
    <w:uiPriority w:val="99"/>
    <w:semiHidden/>
    <w:unhideWhenUsed/>
    <w:rsid w:val="00C3749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37496"/>
  </w:style>
  <w:style w:type="paragraph" w:styleId="BalloonText">
    <w:name w:val="Balloon Text"/>
    <w:basedOn w:val="Normal"/>
    <w:link w:val="BalloonTextChar"/>
    <w:uiPriority w:val="99"/>
    <w:semiHidden/>
    <w:unhideWhenUsed/>
    <w:rsid w:val="00C374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749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4ABD2D-2B07-44AD-9808-CAB7AF5388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Pages>
  <Words>786</Words>
  <Characters>4484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Millhous</dc:creator>
  <cp:lastModifiedBy>Lisa Millhous</cp:lastModifiedBy>
  <cp:revision>4</cp:revision>
  <dcterms:created xsi:type="dcterms:W3CDTF">2014-03-07T15:22:00Z</dcterms:created>
  <dcterms:modified xsi:type="dcterms:W3CDTF">2014-03-07T16:53:00Z</dcterms:modified>
</cp:coreProperties>
</file>